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20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341"/>
        <w:gridCol w:w="891"/>
        <w:gridCol w:w="1225"/>
        <w:gridCol w:w="870"/>
        <w:gridCol w:w="100"/>
        <w:gridCol w:w="1092"/>
        <w:gridCol w:w="583"/>
        <w:gridCol w:w="689"/>
        <w:gridCol w:w="1068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990" w:hRule="atLeast"/>
        </w:trPr>
        <w:tc>
          <w:tcPr>
            <w:tcW w:w="10589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本表适用于有限责任公司、股份有限责任公司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（非私营企业）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506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93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国家能源投资集团有限责任公司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31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注册号/统一社会信用代码</w:t>
            </w:r>
          </w:p>
        </w:tc>
        <w:tc>
          <w:tcPr>
            <w:tcW w:w="93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91110000100018267J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31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企业联系电话</w:t>
            </w:r>
          </w:p>
        </w:tc>
        <w:tc>
          <w:tcPr>
            <w:tcW w:w="4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010-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57338388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企业电子邮箱</w:t>
            </w:r>
          </w:p>
          <w:p>
            <w:pPr>
              <w:widowControl/>
              <w:jc w:val="left"/>
              <w:rPr>
                <w:rFonts w:ascii="宋体" w:hAnsi="宋体" w:eastAsia="等线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zbs@ceic.com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31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企业通信地址</w:t>
            </w:r>
          </w:p>
        </w:tc>
        <w:tc>
          <w:tcPr>
            <w:tcW w:w="4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北京市东城区安外西滨河路26号</w:t>
            </w:r>
          </w:p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国家能源集团有限责任公司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  <w:p>
            <w:pPr>
              <w:widowControl/>
              <w:jc w:val="left"/>
              <w:rPr>
                <w:rFonts w:ascii="宋体" w:hAnsi="宋体" w:eastAsia="等线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28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企业经营状态</w:t>
            </w:r>
          </w:p>
        </w:tc>
        <w:tc>
          <w:tcPr>
            <w:tcW w:w="43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开业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□歇业</w:t>
            </w:r>
            <w:r>
              <w:rPr>
                <w:rFonts w:ascii="Times New Roman" w:hAnsi="Times New Roman"/>
                <w:color w:val="auto"/>
                <w:kern w:val="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□清算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主营业务活动</w:t>
            </w:r>
          </w:p>
          <w:p>
            <w:pPr>
              <w:widowControl/>
              <w:rPr>
                <w:rFonts w:ascii="宋体" w:hAnsi="宋体" w:eastAsia="等线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务院授权范围内的国有资产经营；开展煤炭等资源性产品、煤制油、煤化工、电力、热力、港口、各类运输业、金融、国内外贸易及物流、房地产、高科技、信息咨询等行业领域的投资、管理；规划、组织、协调、管理集团所属企业在上述行业领域内的生产经营活动；化工材料及化工产品（不含危险化学品）、纺织品、建筑材料、机械、电子设备、办公设备的销售。（市场主体依法自主选择经营项目，开展经营活动；依法须经批准的项目，经相关部门批准后依批准的内容开展经营活动；不得从事国家和本市产业政策禁止和限制类项目的经营活动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trHeight w:val="285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企业控股情况</w:t>
            </w:r>
          </w:p>
        </w:tc>
        <w:tc>
          <w:tcPr>
            <w:tcW w:w="934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国有独资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cantSplit/>
          <w:trHeight w:val="570" w:hRule="atLeast"/>
        </w:trPr>
        <w:tc>
          <w:tcPr>
            <w:tcW w:w="12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股东（发起人）出资情况表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（万元，币种应与注册资本币种相同）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股东（发起人）姓名或名称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认缴出资额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认缴出资时间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认缴出资方式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实缴出资额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实缴出资时间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实缴出资方式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cantSplit/>
          <w:trHeight w:val="2280" w:hRule="atLeast"/>
        </w:trPr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国务院国有资产监督管理委员会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132094661149.80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2017年11月28日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等线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货币</w:t>
            </w:r>
          </w:p>
          <w:p>
            <w:pPr>
              <w:widowControl/>
              <w:rPr>
                <w:rFonts w:hint="eastAsia" w:ascii="宋体" w:hAnsi="宋体" w:eastAsia="等线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实物</w:t>
            </w:r>
          </w:p>
          <w:p>
            <w:pPr>
              <w:widowControl/>
              <w:rPr>
                <w:rFonts w:hint="eastAsia" w:ascii="宋体" w:hAnsi="宋体" w:eastAsia="等线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□知识产权</w:t>
            </w:r>
          </w:p>
          <w:p>
            <w:pPr>
              <w:widowControl/>
              <w:rPr>
                <w:rFonts w:hint="eastAsia" w:ascii="宋体" w:hAnsi="宋体" w:eastAsia="等线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□债权</w:t>
            </w:r>
          </w:p>
          <w:p>
            <w:pPr>
              <w:widowControl/>
              <w:rPr>
                <w:rFonts w:hint="eastAsia" w:ascii="宋体" w:hAnsi="宋体" w:eastAsia="等线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□土地使用权</w:t>
            </w:r>
          </w:p>
          <w:p>
            <w:pPr>
              <w:widowControl/>
              <w:rPr>
                <w:rFonts w:hint="eastAsia" w:ascii="宋体" w:hAnsi="宋体" w:eastAsia="等线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□股权</w:t>
            </w:r>
          </w:p>
          <w:p>
            <w:pPr>
              <w:widowControl/>
              <w:rPr>
                <w:rFonts w:ascii="宋体" w:hAnsi="宋体" w:eastAsia="等线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</w:rPr>
              <w:t>132094661149.80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zCs w:val="24"/>
                <w:lang w:val="en-US" w:eastAsia="zh-CN"/>
              </w:rPr>
              <w:t>2017年11月28日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货币</w:t>
            </w:r>
          </w:p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□实物</w:t>
            </w:r>
          </w:p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□知识产权</w:t>
            </w:r>
          </w:p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□债权</w:t>
            </w:r>
          </w:p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□土地使用权</w:t>
            </w:r>
          </w:p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□股权</w:t>
            </w:r>
          </w:p>
          <w:p>
            <w:pPr>
              <w:widowControl/>
              <w:jc w:val="left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cantSplit/>
          <w:trHeight w:val="285" w:hRule="atLeast"/>
        </w:trPr>
        <w:tc>
          <w:tcPr>
            <w:tcW w:w="12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是否有网站或网店</w:t>
            </w:r>
          </w:p>
        </w:tc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ascii="Times New Roman" w:hAnsi="Times New Roman"/>
                <w:color w:val="000000"/>
                <w:kern w:val="0"/>
                <w:sz w:val="14"/>
                <w:szCs w:val="14"/>
              </w:rPr>
              <w:t xml:space="preserve"> 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否</w:t>
            </w:r>
          </w:p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网址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cantSplit/>
          <w:trHeight w:val="360" w:hRule="atLeast"/>
        </w:trPr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网站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国家能源集团官网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https://www.ceic.com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480" w:type="dxa"/>
          <w:cantSplit/>
          <w:trHeight w:val="285" w:hRule="atLeast"/>
        </w:trPr>
        <w:tc>
          <w:tcPr>
            <w:tcW w:w="12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网店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国家能源集团生态协作平台</w:t>
            </w:r>
          </w:p>
        </w:tc>
        <w:tc>
          <w:tcPr>
            <w:tcW w:w="49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等线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https://cooperation.ceic.com/home/index</w:t>
            </w:r>
          </w:p>
        </w:tc>
      </w:tr>
    </w:tbl>
    <w:p>
      <w:pPr>
        <w:rPr>
          <w:rFonts w:hint="eastAsia" w:ascii="仿宋_GB2312" w:hAns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567" w:bottom="113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666B5"/>
    <w:rsid w:val="00014733"/>
    <w:rsid w:val="000176AE"/>
    <w:rsid w:val="00050CA4"/>
    <w:rsid w:val="00052B7A"/>
    <w:rsid w:val="00076C33"/>
    <w:rsid w:val="00083E04"/>
    <w:rsid w:val="00092232"/>
    <w:rsid w:val="000B169E"/>
    <w:rsid w:val="000B58D7"/>
    <w:rsid w:val="000D4D5D"/>
    <w:rsid w:val="00100651"/>
    <w:rsid w:val="001209C0"/>
    <w:rsid w:val="0016630B"/>
    <w:rsid w:val="00175BDA"/>
    <w:rsid w:val="001F71CC"/>
    <w:rsid w:val="001F7969"/>
    <w:rsid w:val="00217EE5"/>
    <w:rsid w:val="00221E7F"/>
    <w:rsid w:val="002272FA"/>
    <w:rsid w:val="0025677C"/>
    <w:rsid w:val="0026059B"/>
    <w:rsid w:val="002C264A"/>
    <w:rsid w:val="002E0D3F"/>
    <w:rsid w:val="002E21D6"/>
    <w:rsid w:val="002E549C"/>
    <w:rsid w:val="002F499B"/>
    <w:rsid w:val="003031AE"/>
    <w:rsid w:val="00314FDB"/>
    <w:rsid w:val="00333B90"/>
    <w:rsid w:val="003360CF"/>
    <w:rsid w:val="0035443F"/>
    <w:rsid w:val="003617B5"/>
    <w:rsid w:val="00361FD1"/>
    <w:rsid w:val="003704AA"/>
    <w:rsid w:val="003B635A"/>
    <w:rsid w:val="003B758F"/>
    <w:rsid w:val="003C0E41"/>
    <w:rsid w:val="003C5F76"/>
    <w:rsid w:val="003D172C"/>
    <w:rsid w:val="003D7B17"/>
    <w:rsid w:val="003E5A72"/>
    <w:rsid w:val="00403178"/>
    <w:rsid w:val="00440B61"/>
    <w:rsid w:val="004576D1"/>
    <w:rsid w:val="00465E25"/>
    <w:rsid w:val="004664ED"/>
    <w:rsid w:val="00477117"/>
    <w:rsid w:val="004853AF"/>
    <w:rsid w:val="004A480F"/>
    <w:rsid w:val="004A55C5"/>
    <w:rsid w:val="004D5167"/>
    <w:rsid w:val="004E72F0"/>
    <w:rsid w:val="004F124A"/>
    <w:rsid w:val="00511E10"/>
    <w:rsid w:val="0051351D"/>
    <w:rsid w:val="00514C5D"/>
    <w:rsid w:val="00537718"/>
    <w:rsid w:val="00552EC1"/>
    <w:rsid w:val="00564E18"/>
    <w:rsid w:val="00595245"/>
    <w:rsid w:val="00595A2B"/>
    <w:rsid w:val="005A1C9E"/>
    <w:rsid w:val="005A3CF4"/>
    <w:rsid w:val="005B35D9"/>
    <w:rsid w:val="005C6B34"/>
    <w:rsid w:val="006040EB"/>
    <w:rsid w:val="00625AC5"/>
    <w:rsid w:val="006356D5"/>
    <w:rsid w:val="00635F28"/>
    <w:rsid w:val="00672158"/>
    <w:rsid w:val="00672964"/>
    <w:rsid w:val="006E7D8B"/>
    <w:rsid w:val="00706F74"/>
    <w:rsid w:val="007168EF"/>
    <w:rsid w:val="00724398"/>
    <w:rsid w:val="0075595B"/>
    <w:rsid w:val="00767B93"/>
    <w:rsid w:val="0077300F"/>
    <w:rsid w:val="007A04B8"/>
    <w:rsid w:val="007B0D2A"/>
    <w:rsid w:val="007D0542"/>
    <w:rsid w:val="007D5C35"/>
    <w:rsid w:val="007E3D8B"/>
    <w:rsid w:val="00820169"/>
    <w:rsid w:val="00820D65"/>
    <w:rsid w:val="008301D5"/>
    <w:rsid w:val="008475AE"/>
    <w:rsid w:val="00864784"/>
    <w:rsid w:val="00894F72"/>
    <w:rsid w:val="008A2FA1"/>
    <w:rsid w:val="008B6893"/>
    <w:rsid w:val="008C4C44"/>
    <w:rsid w:val="008C65EC"/>
    <w:rsid w:val="008C6E0C"/>
    <w:rsid w:val="008D51DF"/>
    <w:rsid w:val="008D567D"/>
    <w:rsid w:val="008D6283"/>
    <w:rsid w:val="008F1F01"/>
    <w:rsid w:val="0090216D"/>
    <w:rsid w:val="0092239A"/>
    <w:rsid w:val="00924831"/>
    <w:rsid w:val="00951DDA"/>
    <w:rsid w:val="00956EDE"/>
    <w:rsid w:val="009A044E"/>
    <w:rsid w:val="009B767D"/>
    <w:rsid w:val="009F3AB3"/>
    <w:rsid w:val="00A679E8"/>
    <w:rsid w:val="00A70EF5"/>
    <w:rsid w:val="00A765EF"/>
    <w:rsid w:val="00A830AB"/>
    <w:rsid w:val="00A93F8E"/>
    <w:rsid w:val="00AE630F"/>
    <w:rsid w:val="00B00B33"/>
    <w:rsid w:val="00B12A2B"/>
    <w:rsid w:val="00B15414"/>
    <w:rsid w:val="00B61AA2"/>
    <w:rsid w:val="00B71E7B"/>
    <w:rsid w:val="00B817D5"/>
    <w:rsid w:val="00B96912"/>
    <w:rsid w:val="00BC03EC"/>
    <w:rsid w:val="00BD18D0"/>
    <w:rsid w:val="00C05403"/>
    <w:rsid w:val="00C13D2B"/>
    <w:rsid w:val="00C22867"/>
    <w:rsid w:val="00C4255F"/>
    <w:rsid w:val="00C45734"/>
    <w:rsid w:val="00C52F25"/>
    <w:rsid w:val="00C60214"/>
    <w:rsid w:val="00C62057"/>
    <w:rsid w:val="00C67B9F"/>
    <w:rsid w:val="00C760DA"/>
    <w:rsid w:val="00CC2789"/>
    <w:rsid w:val="00D02602"/>
    <w:rsid w:val="00D12D93"/>
    <w:rsid w:val="00D61BE6"/>
    <w:rsid w:val="00D62A3F"/>
    <w:rsid w:val="00D631B6"/>
    <w:rsid w:val="00D81683"/>
    <w:rsid w:val="00D835E2"/>
    <w:rsid w:val="00D97781"/>
    <w:rsid w:val="00DA1B6C"/>
    <w:rsid w:val="00DE4839"/>
    <w:rsid w:val="00DE5176"/>
    <w:rsid w:val="00E57D49"/>
    <w:rsid w:val="00EB3DA0"/>
    <w:rsid w:val="00EB4CFB"/>
    <w:rsid w:val="00F0445F"/>
    <w:rsid w:val="00F132DD"/>
    <w:rsid w:val="00F25E83"/>
    <w:rsid w:val="00F2728E"/>
    <w:rsid w:val="00F72DE1"/>
    <w:rsid w:val="00F73C8F"/>
    <w:rsid w:val="00FA63E4"/>
    <w:rsid w:val="00FE1259"/>
    <w:rsid w:val="00FE7274"/>
    <w:rsid w:val="05B3442F"/>
    <w:rsid w:val="073A167D"/>
    <w:rsid w:val="095917F0"/>
    <w:rsid w:val="0A785B3F"/>
    <w:rsid w:val="0E023FE7"/>
    <w:rsid w:val="0EFA3D30"/>
    <w:rsid w:val="106C44E4"/>
    <w:rsid w:val="145666B5"/>
    <w:rsid w:val="15472079"/>
    <w:rsid w:val="1C765312"/>
    <w:rsid w:val="1E277E93"/>
    <w:rsid w:val="1F7652AC"/>
    <w:rsid w:val="23F66199"/>
    <w:rsid w:val="25265056"/>
    <w:rsid w:val="2AF335B0"/>
    <w:rsid w:val="2AF95D6A"/>
    <w:rsid w:val="2BD52983"/>
    <w:rsid w:val="2EC96F37"/>
    <w:rsid w:val="304D7A7F"/>
    <w:rsid w:val="32652FB1"/>
    <w:rsid w:val="35FC7A86"/>
    <w:rsid w:val="38050DBD"/>
    <w:rsid w:val="38363CF7"/>
    <w:rsid w:val="3BA32AEC"/>
    <w:rsid w:val="3C015F72"/>
    <w:rsid w:val="45EA41DD"/>
    <w:rsid w:val="49D12D0B"/>
    <w:rsid w:val="4C5E4660"/>
    <w:rsid w:val="5A097F04"/>
    <w:rsid w:val="5C4B11A8"/>
    <w:rsid w:val="5CA7455F"/>
    <w:rsid w:val="5F4F3C57"/>
    <w:rsid w:val="61CD113A"/>
    <w:rsid w:val="68865FAD"/>
    <w:rsid w:val="6A1763B5"/>
    <w:rsid w:val="73336AEB"/>
    <w:rsid w:val="73DD437A"/>
    <w:rsid w:val="7B2A4AF7"/>
    <w:rsid w:val="7CE24C65"/>
    <w:rsid w:val="7CEA7B96"/>
    <w:rsid w:val="7EE26A90"/>
    <w:rsid w:val="7F6762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annotation reference"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0"/>
    <w:pPr>
      <w:ind w:firstLine="200" w:firstLineChars="200"/>
    </w:pPr>
  </w:style>
  <w:style w:type="character" w:customStyle="1" w:styleId="13">
    <w:name w:val="批注框文本 Char"/>
    <w:link w:val="3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4">
    <w:name w:val="批注文字 Char"/>
    <w:link w:val="2"/>
    <w:qFormat/>
    <w:uiPriority w:val="0"/>
    <w:rPr>
      <w:rFonts w:ascii="等线" w:hAnsi="等线" w:eastAsia="等线"/>
      <w:kern w:val="2"/>
      <w:sz w:val="21"/>
      <w:szCs w:val="22"/>
    </w:rPr>
  </w:style>
  <w:style w:type="character" w:customStyle="1" w:styleId="15">
    <w:name w:val="批注主题 Char"/>
    <w:link w:val="6"/>
    <w:qFormat/>
    <w:uiPriority w:val="0"/>
    <w:rPr>
      <w:rFonts w:ascii="等线" w:hAnsi="等线" w:eastAsia="等线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1879</Words>
  <Characters>10715</Characters>
  <Lines>89</Lines>
  <Paragraphs>25</Paragraphs>
  <TotalTime>16</TotalTime>
  <ScaleCrop>false</ScaleCrop>
  <LinksUpToDate>false</LinksUpToDate>
  <CharactersWithSpaces>12569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2018-01-18T02:11:00Z</dcterms:created>
  <dc:creator>NTKO</dc:creator>
  <cp:lastModifiedBy>周远玲</cp:lastModifiedBy>
  <cp:lastPrinted>2019-12-19T06:49:00Z</cp:lastPrinted>
  <dcterms:modified xsi:type="dcterms:W3CDTF">2025-02-24T01:55:05Z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BB5A7277B2144EED8CD4E1E3217F07D9</vt:lpwstr>
  </property>
</Properties>
</file>